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Правовые аспекты деятельности в сфере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B5E4E1" w:rsidR="00A77598" w:rsidRPr="008D675B" w:rsidRDefault="008D67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6A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ACB">
              <w:rPr>
                <w:rFonts w:ascii="Times New Roman" w:hAnsi="Times New Roman" w:cs="Times New Roman"/>
                <w:sz w:val="20"/>
                <w:szCs w:val="20"/>
              </w:rPr>
              <w:t>к.пед.н, Сандрина Виктория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978DD4" w:rsidR="004475DA" w:rsidRPr="008D675B" w:rsidRDefault="008D67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BC02A0" w14:textId="77777777" w:rsidR="00A86AC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68543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_Toc201668543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3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12BD814E" w14:textId="77777777" w:rsidR="00A86ACB" w:rsidRDefault="00CB5A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44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_Toc201668544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3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0B164443" w14:textId="77777777" w:rsidR="00A86ACB" w:rsidRDefault="00CB5A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45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_Toc201668545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3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70457748" w14:textId="77777777" w:rsidR="00A86ACB" w:rsidRDefault="00CB5A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46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_Toc201668546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4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33FE0728" w14:textId="77777777" w:rsidR="00A86ACB" w:rsidRDefault="00CB5A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47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_Toc201668547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6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33656911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48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_Toc201668548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6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547C7B5B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49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_Toc201668549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7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46952527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0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_Toc201668550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7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62BF33DD" w14:textId="77777777" w:rsidR="00A86ACB" w:rsidRDefault="00CB5A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1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_Toc201668551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7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5C35984C" w14:textId="77777777" w:rsidR="00A86ACB" w:rsidRDefault="00CB5A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2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_Toc201668552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9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0F2094D9" w14:textId="77777777" w:rsidR="00A86ACB" w:rsidRDefault="00CB5A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3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_Toc201668553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10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6FFAF842" w14:textId="77777777" w:rsidR="00A86ACB" w:rsidRDefault="00CB5A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4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_Toc201668554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12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0A12FB5C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5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_Toc201668555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12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1541A3CF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6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_Toc201668556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12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1235F632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7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_Toc201668557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12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3B32A645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8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_Toc201668558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12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21217132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59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_Toc201668559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12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1B00539F" w14:textId="77777777" w:rsidR="00A86ACB" w:rsidRDefault="00CB5A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68560" w:history="1">
            <w:r w:rsidR="00A86ACB" w:rsidRPr="00B20B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86ACB">
              <w:rPr>
                <w:noProof/>
                <w:webHidden/>
              </w:rPr>
              <w:tab/>
            </w:r>
            <w:r w:rsidR="00A86ACB">
              <w:rPr>
                <w:noProof/>
                <w:webHidden/>
              </w:rPr>
              <w:fldChar w:fldCharType="begin"/>
            </w:r>
            <w:r w:rsidR="00A86ACB">
              <w:rPr>
                <w:noProof/>
                <w:webHidden/>
              </w:rPr>
              <w:instrText xml:space="preserve"> PAGEREF _Toc201668560 \h </w:instrText>
            </w:r>
            <w:r w:rsidR="00A86ACB">
              <w:rPr>
                <w:noProof/>
                <w:webHidden/>
              </w:rPr>
            </w:r>
            <w:r w:rsidR="00A86ACB">
              <w:rPr>
                <w:noProof/>
                <w:webHidden/>
              </w:rPr>
              <w:fldChar w:fldCharType="separate"/>
            </w:r>
            <w:r w:rsidR="00A86ACB">
              <w:rPr>
                <w:noProof/>
                <w:webHidden/>
              </w:rPr>
              <w:t>12</w:t>
            </w:r>
            <w:r w:rsidR="00A86AC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68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как комплекса знаний, умений и владений, в совокупности необходимых для освоения бакалаврами базовых теоретических понятий права, основ законодательства, регулирующего общественные отношения в сфере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68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Правовые аспекты деятельности в сфере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68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A86AC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6A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6AC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6AC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6AC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6AC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6A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6AC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6A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6A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  <w:lang w:bidi="ru-RU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6A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6ACB">
              <w:rPr>
                <w:rFonts w:ascii="Times New Roman" w:hAnsi="Times New Roman" w:cs="Times New Roman"/>
              </w:rPr>
              <w:t>навыками систематизации и организации деятельности предприятий гостеприимства и/или общественного питания в соответствии с действующими регламентами и нормативно-правовыми документами.</w:t>
            </w:r>
            <w:r w:rsidRPr="00A86AC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6A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6ACB">
              <w:rPr>
                <w:rFonts w:ascii="Times New Roman" w:hAnsi="Times New Roman" w:cs="Times New Roman"/>
              </w:rPr>
              <w:t>применять юридическую терминологию в сфере гостеприимства и общественного питания; принимать решения и совершать  законные способы реализации услуг в сфере гостеприимства и общественного питания.</w:t>
            </w:r>
            <w:r w:rsidRPr="00A86AC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6A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6ACB">
              <w:rPr>
                <w:rFonts w:ascii="Times New Roman" w:hAnsi="Times New Roman" w:cs="Times New Roman"/>
              </w:rPr>
              <w:t>навыками профессиональной деятельности на основе этических и нравственных норм, уважительно относится к праву и закону.</w:t>
            </w:r>
            <w:r w:rsidRPr="00A86AC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86ACB" w14:paraId="53AC4BD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B5D84" w14:textId="77777777" w:rsidR="00751095" w:rsidRPr="00A86A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>ОПК-6 -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F68D9" w14:textId="77777777" w:rsidR="00751095" w:rsidRPr="00A86A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  <w:lang w:bidi="ru-RU"/>
              </w:rPr>
              <w:t>ОПК-6.3 - Соблюдает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02C9" w14:textId="77777777" w:rsidR="00751095" w:rsidRPr="00A86A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6ACB">
              <w:rPr>
                <w:rFonts w:ascii="Times New Roman" w:hAnsi="Times New Roman" w:cs="Times New Roman"/>
              </w:rPr>
              <w:t>базовые теоретические понятия права, основы законодательства, регулирующего общественные отношения в сфере гостеприимства и общественного питания.</w:t>
            </w:r>
            <w:r w:rsidRPr="00A86ACB">
              <w:rPr>
                <w:rFonts w:ascii="Times New Roman" w:hAnsi="Times New Roman" w:cs="Times New Roman"/>
              </w:rPr>
              <w:t xml:space="preserve"> </w:t>
            </w:r>
          </w:p>
          <w:p w14:paraId="6B55841A" w14:textId="77777777" w:rsidR="00751095" w:rsidRPr="00A86A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6ACB">
              <w:rPr>
                <w:rFonts w:ascii="Times New Roman" w:hAnsi="Times New Roman" w:cs="Times New Roman"/>
              </w:rPr>
              <w:t>анализировать и правильно применять законодательно-нормативную базу РФ в сфере гостеприимства и общественного питания.</w:t>
            </w:r>
            <w:r w:rsidRPr="00A86ACB">
              <w:rPr>
                <w:rFonts w:ascii="Times New Roman" w:hAnsi="Times New Roman" w:cs="Times New Roman"/>
              </w:rPr>
              <w:t xml:space="preserve">. </w:t>
            </w:r>
          </w:p>
          <w:p w14:paraId="4AB9C44B" w14:textId="77777777" w:rsidR="00751095" w:rsidRPr="00A86A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6ACB">
              <w:rPr>
                <w:rFonts w:ascii="Times New Roman" w:hAnsi="Times New Roman" w:cs="Times New Roman"/>
              </w:rPr>
              <w:t>навыками грамотного составления внутренних правовых документов организации; оформления  документов, касающихся деятельности в сфере гостеприимства и общественного питания.</w:t>
            </w:r>
            <w:r w:rsidRPr="00A86AC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86ACB" w14:paraId="2DE5BE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61B60" w14:textId="77777777" w:rsidR="00751095" w:rsidRPr="00A86A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>ПК-3 - Способен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4E20D" w14:textId="77777777" w:rsidR="00751095" w:rsidRPr="00A86A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  <w:lang w:bidi="ru-RU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050F" w14:textId="77777777" w:rsidR="00751095" w:rsidRPr="00A86A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6ACB">
              <w:rPr>
                <w:rFonts w:ascii="Times New Roman" w:hAnsi="Times New Roman" w:cs="Times New Roman"/>
              </w:rPr>
              <w:t>нормативно-правовые основы обслуживания потребителей; содержание и принципы стандартов безопасности потребителей в сфере профессиональной деятельности.</w:t>
            </w:r>
            <w:r w:rsidRPr="00A86ACB">
              <w:rPr>
                <w:rFonts w:ascii="Times New Roman" w:hAnsi="Times New Roman" w:cs="Times New Roman"/>
              </w:rPr>
              <w:t xml:space="preserve"> </w:t>
            </w:r>
          </w:p>
          <w:p w14:paraId="023BDF5A" w14:textId="77777777" w:rsidR="00751095" w:rsidRPr="00A86A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6ACB">
              <w:rPr>
                <w:rFonts w:ascii="Times New Roman" w:hAnsi="Times New Roman" w:cs="Times New Roman"/>
              </w:rPr>
              <w:t>обеспечивать высокий уровень обслуживания потребителей, соблюдать выполнения норм и правил безопасности,  прогнозировать возможные варианты развития событий при несоблюдении и ненадлежащем соблюдении требований.</w:t>
            </w:r>
            <w:r w:rsidRPr="00A86ACB">
              <w:rPr>
                <w:rFonts w:ascii="Times New Roman" w:hAnsi="Times New Roman" w:cs="Times New Roman"/>
              </w:rPr>
              <w:t xml:space="preserve">. </w:t>
            </w:r>
          </w:p>
          <w:p w14:paraId="4DF43D70" w14:textId="77777777" w:rsidR="00751095" w:rsidRPr="00A86A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6ACB">
              <w:rPr>
                <w:rFonts w:ascii="Times New Roman" w:hAnsi="Times New Roman" w:cs="Times New Roman"/>
              </w:rPr>
              <w:t>навыками качественно обслуживать потребителей на основе нормативных документов в сфере гостеприимства и общественного питания.</w:t>
            </w:r>
            <w:r w:rsidRPr="00A86AC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6AC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685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Правовая основа документационного обеспечения деятельности предприятия индустрии гостеприимства.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регулирование деятельности в сфере гостеприимства и общественного питания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государственное регулирование делопроизводства. Понятие гостиничной деятельности. Гостиничная деятельность, ее процессы, управление процессами гостиничной деятельности как объект изучения дисциплины. Документационное обеспечение управления гостиничной деятельностью как предмет изучения дисциплины.  Цель и задачи, методы  изучения дисциплины, формы контроля, требования к аттестации. Основная и дополнительная литература. Федеральные законы, Положения и иные нормативно-правовые и методические документы и стандарты, регулирующие документирование управленческой деятельности (в том числе на гостиничном предприятии).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B17C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AF8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Возникновение и развитие государственного регулирования документационного обеспечения деятельности в сфере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9FF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Делопроизводство как важная составляющая управления отношениями, возникающими в обществе в процессе обмена материальными и духовными ценностями, осуществляемого членами общества. Информация как ценность. Необходимость государственного регулирования делопроизводства. Возникновение, становление и развитие государственного регулирования делопроизводства. Этапы: особенности документирования в период Древней Руси, приказное делопроизводство (XV-XVII вв.), коллежское делопроизводство (XVIII - XIX вв.), министерское делопроизводство (XIX-XX вв.), делопроизводство в ХХ веке. Стандартизация и унификация. Особенности современной системы делопроизводства. Задачи государственного регулирования документирования на современном этапе развития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D07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9A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8E2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8BA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0770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0E3D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документационного обеспечения деятельности в индустрии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6141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Теоретическая основа управления деятельностью гостиничного предприятия. Управление: понятие и сущность. Объект и субъект управления. Функции управления. Современные подходы к управлению в целом. Гостиничное предприятие как объект управления. Принципы управления гостиничным предприятием. Организационная структура гостиничного предприятия. Отдел, осуществляющий исполнение и контроль за документооборотом на гостиничном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0B7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1E3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227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30A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78F81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72E99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Документационное обеспечение деятельности управления в сфере гостеприимства и общественного питания.</w:t>
            </w:r>
          </w:p>
        </w:tc>
      </w:tr>
      <w:tr w:rsidR="005B37A7" w:rsidRPr="005B37A7" w14:paraId="7E697E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24B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Документационное обеспечение деятельности основных служб предприятий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46D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Документационное обеспечение административно-управленческой деятельности. Понятие организационная и распорядительная документация. Организационная документация, требования к оформлению. Положение.Устав. Учредительный договор. Инструкция. Распорядительные документы: приказ, распоряжение, решение. Понятие информационно-справочная документация. Информационные документы. Служебные письма, их разновидности, реквизиты письма. Стандарты при осуществлении письменных коммуникаций с зарубежными деловыми партнерами.Документирование деятельности служб обслуживания гостей.</w:t>
            </w:r>
            <w:r w:rsidRPr="00352B6F">
              <w:rPr>
                <w:lang w:bidi="ru-RU"/>
              </w:rPr>
              <w:br/>
              <w:t>Документация, сопровождающая прием и размещение гостей. Документация, необходимая для учета использования номерного фонда. Документация, связанная с технологическими процессами обеспечения деятельности гостиницы. Документирование деятельности служб организации деятельности и функционирования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E7B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E46E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6CE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07E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4B1F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374B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Документирование. Технологии работы с документами на предприятиях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583B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Документооборот в гостинице: структура, объем, содержание. Регламентирование организации делопроизводства в гостинице. Инструкция по делопроизводству. Создание, движение, контроль за исполнением документа. Прием и первичная обработка документов. Регистрация и обработка документов. Мониторинг документооборота в гостинице. Системы автоматизации делопроизводства в гостиничной деятельности. Типы организации делопроизводства.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53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D04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6B8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750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0D54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697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Специфика использование информационных технологий документационного обеспечения предприятий индустрии гостеприимства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480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способы и техника создания документов. Компьютерные технологии деловой переписки. Краткий обзор программного обеспечения персонального компьютера. Основные методы форматирования текста.  Атрибуты оформления текста. Оформление абзацев, рубрик, заголовков, примечаний, сносок.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6401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137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DE5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C9A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685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68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86A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  <w:sz w:val="24"/>
                <w:szCs w:val="24"/>
              </w:rPr>
              <w:t>Вотинцева, Н. А. Правовое обеспечение гостиничной деятельности : учебное пособие / Н. А. Вотинцева. — Москва : РИОР : ИНФРА-М, 2020. —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86ACB" w:rsidRDefault="00CB5A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https://znanium.com/catalog/document?id=351578</w:t>
              </w:r>
            </w:hyperlink>
          </w:p>
        </w:tc>
      </w:tr>
      <w:tr w:rsidR="00262CF0" w:rsidRPr="007E6725" w14:paraId="6BF5EE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823E63" w14:textId="77777777" w:rsidR="00262CF0" w:rsidRPr="00A86A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  <w:sz w:val="24"/>
                <w:szCs w:val="24"/>
              </w:rPr>
              <w:t>Еланцева, О. П. Документирование деятельности гостиниц : учебное пособие / О. П. Еланцева. - 2-е изд., стер. - Москва : ФЛИНТА, 2017. - 404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01296" w14:textId="77777777" w:rsidR="00262CF0" w:rsidRPr="00A86ACB" w:rsidRDefault="00CB5A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https://znanium.com/catalog/document?id=377726#bib</w:t>
              </w:r>
            </w:hyperlink>
          </w:p>
        </w:tc>
      </w:tr>
      <w:tr w:rsidR="00262CF0" w:rsidRPr="007E6725" w14:paraId="023D96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C37901" w14:textId="77777777" w:rsidR="00262CF0" w:rsidRPr="00A86A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  <w:sz w:val="24"/>
                <w:szCs w:val="24"/>
              </w:rPr>
              <w:t>Шанаурина, Ю.В. Правовое обеспечение социально-культурного сервиса и туризма : учеб. пособие / Ю.В. Шанаурина. — 3-е изд., стер. — Москва : ФЛИНТА, 2018. — 239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05F965" w14:textId="77777777" w:rsidR="00262CF0" w:rsidRPr="00A86ACB" w:rsidRDefault="00CB5A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https://znanium.ru/catalog/document?id=342845#bib</w:t>
              </w:r>
            </w:hyperlink>
          </w:p>
        </w:tc>
      </w:tr>
      <w:tr w:rsidR="00262CF0" w:rsidRPr="007E6725" w14:paraId="28889D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BCA095" w14:textId="77777777" w:rsidR="00262CF0" w:rsidRPr="00A86A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6ACB">
              <w:rPr>
                <w:rFonts w:ascii="Times New Roman" w:hAnsi="Times New Roman" w:cs="Times New Roman"/>
                <w:sz w:val="24"/>
                <w:szCs w:val="24"/>
              </w:rPr>
              <w:t>Колочева, В. В. Документационное обеспечение управленческой деятельности. Сервис и туризм : учебное пособие / В. В. Колочева. - Новосибирск : Изд-во НГТУ, 2020. - 72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6930F9" w14:textId="77777777" w:rsidR="00262CF0" w:rsidRPr="00A86ACB" w:rsidRDefault="00CB5A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https://znanium.com/catalog/document?id=397685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68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CA13F68" w14:textId="77777777" w:rsidTr="007B550D">
        <w:tc>
          <w:tcPr>
            <w:tcW w:w="9345" w:type="dxa"/>
          </w:tcPr>
          <w:p w14:paraId="1C1B41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F66516" w14:textId="77777777" w:rsidTr="007B550D">
        <w:tc>
          <w:tcPr>
            <w:tcW w:w="9345" w:type="dxa"/>
          </w:tcPr>
          <w:p w14:paraId="310A58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D32100" w14:textId="77777777" w:rsidTr="007B550D">
        <w:tc>
          <w:tcPr>
            <w:tcW w:w="9345" w:type="dxa"/>
          </w:tcPr>
          <w:p w14:paraId="2B90E5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E4889B" w14:textId="77777777" w:rsidTr="007B550D">
        <w:tc>
          <w:tcPr>
            <w:tcW w:w="9345" w:type="dxa"/>
          </w:tcPr>
          <w:p w14:paraId="6EA5E8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68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B5A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68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86AC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86A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6AC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86A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6AC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86AC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86A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6ACB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A86ACB">
              <w:rPr>
                <w:sz w:val="22"/>
                <w:szCs w:val="22"/>
                <w:lang w:val="en-US"/>
              </w:rPr>
              <w:t>Intel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i</w:t>
            </w:r>
            <w:r w:rsidRPr="00A86ACB">
              <w:rPr>
                <w:sz w:val="22"/>
                <w:szCs w:val="22"/>
              </w:rPr>
              <w:t>3 2100 3.3/4</w:t>
            </w:r>
            <w:r w:rsidRPr="00A86ACB">
              <w:rPr>
                <w:sz w:val="22"/>
                <w:szCs w:val="22"/>
                <w:lang w:val="en-US"/>
              </w:rPr>
              <w:t>Gb</w:t>
            </w:r>
            <w:r w:rsidRPr="00A86ACB">
              <w:rPr>
                <w:sz w:val="22"/>
                <w:szCs w:val="22"/>
              </w:rPr>
              <w:t>/500</w:t>
            </w:r>
            <w:r w:rsidRPr="00A86ACB">
              <w:rPr>
                <w:sz w:val="22"/>
                <w:szCs w:val="22"/>
                <w:lang w:val="en-US"/>
              </w:rPr>
              <w:t>Gb</w:t>
            </w:r>
            <w:r w:rsidRPr="00A86ACB">
              <w:rPr>
                <w:sz w:val="22"/>
                <w:szCs w:val="22"/>
              </w:rPr>
              <w:t>/</w:t>
            </w:r>
            <w:r w:rsidRPr="00A86ACB">
              <w:rPr>
                <w:sz w:val="22"/>
                <w:szCs w:val="22"/>
                <w:lang w:val="en-US"/>
              </w:rPr>
              <w:t>AserV</w:t>
            </w:r>
            <w:r w:rsidRPr="00A86ACB">
              <w:rPr>
                <w:sz w:val="22"/>
                <w:szCs w:val="22"/>
              </w:rPr>
              <w:t xml:space="preserve">193 - 1 шт., Проектор цифровой </w:t>
            </w:r>
            <w:r w:rsidRPr="00A86ACB">
              <w:rPr>
                <w:sz w:val="22"/>
                <w:szCs w:val="22"/>
                <w:lang w:val="en-US"/>
              </w:rPr>
              <w:t>Acer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X</w:t>
            </w:r>
            <w:r w:rsidRPr="00A86ACB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A86ACB">
              <w:rPr>
                <w:sz w:val="22"/>
                <w:szCs w:val="22"/>
                <w:lang w:val="en-US"/>
              </w:rPr>
              <w:t>JBL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CONTROL</w:t>
            </w:r>
            <w:r w:rsidRPr="00A86ACB">
              <w:rPr>
                <w:sz w:val="22"/>
                <w:szCs w:val="22"/>
              </w:rPr>
              <w:t xml:space="preserve"> 25 </w:t>
            </w:r>
            <w:r w:rsidRPr="00A86ACB">
              <w:rPr>
                <w:sz w:val="22"/>
                <w:szCs w:val="22"/>
                <w:lang w:val="en-US"/>
              </w:rPr>
              <w:t>WH</w:t>
            </w:r>
            <w:r w:rsidRPr="00A86AC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86A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6AC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86AC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6ACB" w14:paraId="493D3EFD" w14:textId="77777777" w:rsidTr="008416EB">
        <w:tc>
          <w:tcPr>
            <w:tcW w:w="7797" w:type="dxa"/>
            <w:shd w:val="clear" w:color="auto" w:fill="auto"/>
          </w:tcPr>
          <w:p w14:paraId="7359A668" w14:textId="77777777" w:rsidR="002C735C" w:rsidRPr="00A86A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6ACB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A86ACB">
              <w:rPr>
                <w:sz w:val="22"/>
                <w:szCs w:val="22"/>
                <w:lang w:val="en-US"/>
              </w:rPr>
              <w:t>Intel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i</w:t>
            </w:r>
            <w:r w:rsidRPr="00A86ACB">
              <w:rPr>
                <w:sz w:val="22"/>
                <w:szCs w:val="22"/>
              </w:rPr>
              <w:t>3 2100 3.3/4</w:t>
            </w:r>
            <w:r w:rsidRPr="00A86ACB">
              <w:rPr>
                <w:sz w:val="22"/>
                <w:szCs w:val="22"/>
                <w:lang w:val="en-US"/>
              </w:rPr>
              <w:t>Gb</w:t>
            </w:r>
            <w:r w:rsidRPr="00A86ACB">
              <w:rPr>
                <w:sz w:val="22"/>
                <w:szCs w:val="22"/>
              </w:rPr>
              <w:t>/500</w:t>
            </w:r>
            <w:r w:rsidRPr="00A86ACB">
              <w:rPr>
                <w:sz w:val="22"/>
                <w:szCs w:val="22"/>
                <w:lang w:val="en-US"/>
              </w:rPr>
              <w:t>Gb</w:t>
            </w:r>
            <w:r w:rsidRPr="00A86ACB">
              <w:rPr>
                <w:sz w:val="22"/>
                <w:szCs w:val="22"/>
              </w:rPr>
              <w:t>/</w:t>
            </w:r>
            <w:r w:rsidRPr="00A86ACB">
              <w:rPr>
                <w:sz w:val="22"/>
                <w:szCs w:val="22"/>
                <w:lang w:val="en-US"/>
              </w:rPr>
              <w:t>AserV</w:t>
            </w:r>
            <w:r w:rsidRPr="00A86ACB">
              <w:rPr>
                <w:sz w:val="22"/>
                <w:szCs w:val="22"/>
              </w:rPr>
              <w:t xml:space="preserve">193 - 1 шт.,  Проектор </w:t>
            </w:r>
            <w:r w:rsidRPr="00A86ACB">
              <w:rPr>
                <w:sz w:val="22"/>
                <w:szCs w:val="22"/>
                <w:lang w:val="en-US"/>
              </w:rPr>
              <w:t>N</w:t>
            </w:r>
            <w:r w:rsidRPr="00A86ACB">
              <w:rPr>
                <w:sz w:val="22"/>
                <w:szCs w:val="22"/>
              </w:rPr>
              <w:t>ес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51C69C" w14:textId="77777777" w:rsidR="002C735C" w:rsidRPr="00A86A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6AC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86AC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6ACB" w14:paraId="716C5AFC" w14:textId="77777777" w:rsidTr="008416EB">
        <w:tc>
          <w:tcPr>
            <w:tcW w:w="7797" w:type="dxa"/>
            <w:shd w:val="clear" w:color="auto" w:fill="auto"/>
          </w:tcPr>
          <w:p w14:paraId="4DA65477" w14:textId="77777777" w:rsidR="002C735C" w:rsidRPr="00A86A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6ACB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A86ACB">
              <w:rPr>
                <w:sz w:val="22"/>
                <w:szCs w:val="22"/>
                <w:lang w:val="en-US"/>
              </w:rPr>
              <w:t>Intel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Core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i</w:t>
            </w:r>
            <w:r w:rsidRPr="00A86ACB">
              <w:rPr>
                <w:sz w:val="22"/>
                <w:szCs w:val="22"/>
              </w:rPr>
              <w:t>3- 2100 3.1</w:t>
            </w:r>
            <w:r w:rsidRPr="00A86ACB">
              <w:rPr>
                <w:sz w:val="22"/>
                <w:szCs w:val="22"/>
                <w:lang w:val="en-US"/>
              </w:rPr>
              <w:t>Gh</w:t>
            </w:r>
            <w:r w:rsidRPr="00A86ACB">
              <w:rPr>
                <w:sz w:val="22"/>
                <w:szCs w:val="22"/>
              </w:rPr>
              <w:t>/2</w:t>
            </w:r>
            <w:r w:rsidRPr="00A86ACB">
              <w:rPr>
                <w:sz w:val="22"/>
                <w:szCs w:val="22"/>
                <w:lang w:val="en-US"/>
              </w:rPr>
              <w:t>Gb</w:t>
            </w:r>
            <w:r w:rsidRPr="00A86ACB">
              <w:rPr>
                <w:sz w:val="22"/>
                <w:szCs w:val="22"/>
              </w:rPr>
              <w:t>/500</w:t>
            </w:r>
            <w:r w:rsidRPr="00A86ACB">
              <w:rPr>
                <w:sz w:val="22"/>
                <w:szCs w:val="22"/>
                <w:lang w:val="en-US"/>
              </w:rPr>
              <w:t>Gb</w:t>
            </w:r>
            <w:r w:rsidRPr="00A86ACB">
              <w:rPr>
                <w:sz w:val="22"/>
                <w:szCs w:val="22"/>
              </w:rPr>
              <w:t xml:space="preserve">/ </w:t>
            </w:r>
            <w:r w:rsidRPr="00A86ACB">
              <w:rPr>
                <w:sz w:val="22"/>
                <w:szCs w:val="22"/>
                <w:lang w:val="en-US"/>
              </w:rPr>
              <w:t>Acer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V</w:t>
            </w:r>
            <w:r w:rsidRPr="00A86ACB">
              <w:rPr>
                <w:sz w:val="22"/>
                <w:szCs w:val="22"/>
              </w:rPr>
              <w:t xml:space="preserve">193  - 1 шт., Проектор цифровой </w:t>
            </w:r>
            <w:r w:rsidRPr="00A86ACB">
              <w:rPr>
                <w:sz w:val="22"/>
                <w:szCs w:val="22"/>
                <w:lang w:val="en-US"/>
              </w:rPr>
              <w:t>Acer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X</w:t>
            </w:r>
            <w:r w:rsidRPr="00A86ACB">
              <w:rPr>
                <w:sz w:val="22"/>
                <w:szCs w:val="22"/>
              </w:rPr>
              <w:t xml:space="preserve">1240 - 1 шт., Экран  с электроприводом </w:t>
            </w:r>
            <w:r w:rsidRPr="00A86ACB">
              <w:rPr>
                <w:sz w:val="22"/>
                <w:szCs w:val="22"/>
                <w:lang w:val="en-US"/>
              </w:rPr>
              <w:t>Draper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Baronet</w:t>
            </w:r>
            <w:r w:rsidRPr="00A86ACB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A86ACB">
              <w:rPr>
                <w:sz w:val="22"/>
                <w:szCs w:val="22"/>
                <w:lang w:val="en-US"/>
              </w:rPr>
              <w:t>Hi</w:t>
            </w:r>
            <w:r w:rsidRPr="00A86ACB">
              <w:rPr>
                <w:sz w:val="22"/>
                <w:szCs w:val="22"/>
              </w:rPr>
              <w:t>-</w:t>
            </w:r>
            <w:r w:rsidRPr="00A86ACB">
              <w:rPr>
                <w:sz w:val="22"/>
                <w:szCs w:val="22"/>
                <w:lang w:val="en-US"/>
              </w:rPr>
              <w:t>Fi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PRO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MASK</w:t>
            </w:r>
            <w:r w:rsidRPr="00A86ACB">
              <w:rPr>
                <w:sz w:val="22"/>
                <w:szCs w:val="22"/>
              </w:rPr>
              <w:t>6</w:t>
            </w:r>
            <w:r w:rsidRPr="00A86ACB">
              <w:rPr>
                <w:sz w:val="22"/>
                <w:szCs w:val="22"/>
                <w:lang w:val="en-US"/>
              </w:rPr>
              <w:t>T</w:t>
            </w:r>
            <w:r w:rsidRPr="00A86ACB">
              <w:rPr>
                <w:sz w:val="22"/>
                <w:szCs w:val="22"/>
              </w:rPr>
              <w:t>-</w:t>
            </w:r>
            <w:r w:rsidRPr="00A86ACB">
              <w:rPr>
                <w:sz w:val="22"/>
                <w:szCs w:val="22"/>
                <w:lang w:val="en-US"/>
              </w:rPr>
              <w:t>W</w:t>
            </w:r>
            <w:r w:rsidRPr="00A86ACB">
              <w:rPr>
                <w:sz w:val="22"/>
                <w:szCs w:val="22"/>
              </w:rPr>
              <w:t xml:space="preserve"> - 2 шт., Микшер усилитель  </w:t>
            </w:r>
            <w:r w:rsidRPr="00A86ACB">
              <w:rPr>
                <w:sz w:val="22"/>
                <w:szCs w:val="22"/>
                <w:lang w:val="en-US"/>
              </w:rPr>
              <w:t>Jedia</w:t>
            </w:r>
            <w:r w:rsidRPr="00A86ACB">
              <w:rPr>
                <w:sz w:val="22"/>
                <w:szCs w:val="22"/>
              </w:rPr>
              <w:t xml:space="preserve">  </w:t>
            </w:r>
            <w:r w:rsidRPr="00A86ACB">
              <w:rPr>
                <w:sz w:val="22"/>
                <w:szCs w:val="22"/>
                <w:lang w:val="en-US"/>
              </w:rPr>
              <w:t>TA</w:t>
            </w:r>
            <w:r w:rsidRPr="00A86ACB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0329EF" w14:textId="77777777" w:rsidR="002C735C" w:rsidRPr="00A86A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6AC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86AC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6ACB" w14:paraId="31CE6797" w14:textId="77777777" w:rsidTr="008416EB">
        <w:tc>
          <w:tcPr>
            <w:tcW w:w="7797" w:type="dxa"/>
            <w:shd w:val="clear" w:color="auto" w:fill="auto"/>
          </w:tcPr>
          <w:p w14:paraId="64EB7958" w14:textId="77777777" w:rsidR="002C735C" w:rsidRPr="00A86A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6AC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A86ACB">
              <w:rPr>
                <w:sz w:val="22"/>
                <w:szCs w:val="22"/>
                <w:lang w:val="en-US"/>
              </w:rPr>
              <w:t>I</w:t>
            </w:r>
            <w:r w:rsidRPr="00A86ACB">
              <w:rPr>
                <w:sz w:val="22"/>
                <w:szCs w:val="22"/>
              </w:rPr>
              <w:t>5-7400/8</w:t>
            </w:r>
            <w:r w:rsidRPr="00A86ACB">
              <w:rPr>
                <w:sz w:val="22"/>
                <w:szCs w:val="22"/>
                <w:lang w:val="en-US"/>
              </w:rPr>
              <w:t>Gb</w:t>
            </w:r>
            <w:r w:rsidRPr="00A86ACB">
              <w:rPr>
                <w:sz w:val="22"/>
                <w:szCs w:val="22"/>
              </w:rPr>
              <w:t>/1</w:t>
            </w:r>
            <w:r w:rsidRPr="00A86ACB">
              <w:rPr>
                <w:sz w:val="22"/>
                <w:szCs w:val="22"/>
                <w:lang w:val="en-US"/>
              </w:rPr>
              <w:t>Tb</w:t>
            </w:r>
            <w:r w:rsidRPr="00A86ACB">
              <w:rPr>
                <w:sz w:val="22"/>
                <w:szCs w:val="22"/>
              </w:rPr>
              <w:t xml:space="preserve">/ </w:t>
            </w:r>
            <w:r w:rsidRPr="00A86ACB">
              <w:rPr>
                <w:sz w:val="22"/>
                <w:szCs w:val="22"/>
                <w:lang w:val="en-US"/>
              </w:rPr>
              <w:t>DELL</w:t>
            </w:r>
            <w:r w:rsidRPr="00A86ACB">
              <w:rPr>
                <w:sz w:val="22"/>
                <w:szCs w:val="22"/>
              </w:rPr>
              <w:t xml:space="preserve"> </w:t>
            </w:r>
            <w:r w:rsidRPr="00A86ACB">
              <w:rPr>
                <w:sz w:val="22"/>
                <w:szCs w:val="22"/>
                <w:lang w:val="en-US"/>
              </w:rPr>
              <w:t>S</w:t>
            </w:r>
            <w:r w:rsidRPr="00A86ACB">
              <w:rPr>
                <w:sz w:val="22"/>
                <w:szCs w:val="22"/>
              </w:rPr>
              <w:t>2218</w:t>
            </w:r>
            <w:r w:rsidRPr="00A86ACB">
              <w:rPr>
                <w:sz w:val="22"/>
                <w:szCs w:val="22"/>
                <w:lang w:val="en-US"/>
              </w:rPr>
              <w:t>H</w:t>
            </w:r>
            <w:r w:rsidRPr="00A86AC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9B1DAE" w14:textId="77777777" w:rsidR="002C735C" w:rsidRPr="00A86AC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6AC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86AC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685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68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68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68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6ACB" w14:paraId="41FF57BD" w14:textId="77777777" w:rsidTr="005E33C0">
        <w:tc>
          <w:tcPr>
            <w:tcW w:w="562" w:type="dxa"/>
          </w:tcPr>
          <w:p w14:paraId="3D4B7A71" w14:textId="77777777" w:rsidR="00A86ACB" w:rsidRPr="008D675B" w:rsidRDefault="00A86ACB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A52815" w14:textId="77777777" w:rsidR="00A86ACB" w:rsidRPr="00A86ACB" w:rsidRDefault="00A86ACB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6A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68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6A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6A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68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86AC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6ACB" w14:paraId="5A1C9382" w14:textId="77777777" w:rsidTr="00801458">
        <w:tc>
          <w:tcPr>
            <w:tcW w:w="2336" w:type="dxa"/>
          </w:tcPr>
          <w:p w14:paraId="4C518DAB" w14:textId="77777777" w:rsidR="005D65A5" w:rsidRPr="00A86A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6A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6A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6A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6A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6A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6A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6A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6ACB" w14:paraId="07658034" w14:textId="77777777" w:rsidTr="00801458">
        <w:tc>
          <w:tcPr>
            <w:tcW w:w="2336" w:type="dxa"/>
          </w:tcPr>
          <w:p w14:paraId="1553D698" w14:textId="78F29BFB" w:rsidR="005D65A5" w:rsidRPr="00A86A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86ACB" w14:paraId="0CEE5A1A" w14:textId="77777777" w:rsidTr="00801458">
        <w:tc>
          <w:tcPr>
            <w:tcW w:w="2336" w:type="dxa"/>
          </w:tcPr>
          <w:p w14:paraId="5668DB5A" w14:textId="77777777" w:rsidR="005D65A5" w:rsidRPr="00A86A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B40130" w14:textId="77777777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79E3AB9" w14:textId="77777777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3F8C18" w14:textId="77777777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A86ACB" w14:paraId="1961F2FC" w14:textId="77777777" w:rsidTr="00801458">
        <w:tc>
          <w:tcPr>
            <w:tcW w:w="2336" w:type="dxa"/>
          </w:tcPr>
          <w:p w14:paraId="2F0341B5" w14:textId="77777777" w:rsidR="005D65A5" w:rsidRPr="00A86A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FC8151" w14:textId="77777777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F9BB9F" w14:textId="77777777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9F8946" w14:textId="77777777" w:rsidR="005D65A5" w:rsidRPr="00A86ACB" w:rsidRDefault="007478E0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86AC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86AC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68558"/>
      <w:r w:rsidRPr="00A86A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86AC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6ACB" w:rsidRPr="00A86ACB" w14:paraId="3E3B499E" w14:textId="77777777" w:rsidTr="005E33C0">
        <w:tc>
          <w:tcPr>
            <w:tcW w:w="562" w:type="dxa"/>
          </w:tcPr>
          <w:p w14:paraId="53CC05BD" w14:textId="77777777" w:rsidR="00A86ACB" w:rsidRPr="00A86ACB" w:rsidRDefault="00A86ACB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050FC8" w14:textId="77777777" w:rsidR="00A86ACB" w:rsidRPr="00A86ACB" w:rsidRDefault="00A86ACB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6A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D5CAA5" w14:textId="77777777" w:rsidR="00A86ACB" w:rsidRPr="00A86ACB" w:rsidRDefault="00A86AC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86AC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68559"/>
      <w:r w:rsidRPr="00A86AC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86AC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6ACB" w14:paraId="0267C479" w14:textId="77777777" w:rsidTr="00801458">
        <w:tc>
          <w:tcPr>
            <w:tcW w:w="2500" w:type="pct"/>
          </w:tcPr>
          <w:p w14:paraId="37F699C9" w14:textId="77777777" w:rsidR="00B8237E" w:rsidRPr="00A86A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6A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6A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6A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6ACB" w14:paraId="3F240151" w14:textId="77777777" w:rsidTr="00801458">
        <w:tc>
          <w:tcPr>
            <w:tcW w:w="2500" w:type="pct"/>
          </w:tcPr>
          <w:p w14:paraId="61E91592" w14:textId="61A0874C" w:rsidR="00B8237E" w:rsidRPr="00A86ACB" w:rsidRDefault="00B8237E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86ACB" w:rsidRDefault="005C548A" w:rsidP="00801458">
            <w:pPr>
              <w:rPr>
                <w:rFonts w:ascii="Times New Roman" w:hAnsi="Times New Roman" w:cs="Times New Roman"/>
              </w:rPr>
            </w:pPr>
            <w:r w:rsidRPr="00A86AC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86AC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685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78BE1" w14:textId="77777777" w:rsidR="00CB5AA1" w:rsidRDefault="00CB5AA1" w:rsidP="00315CA6">
      <w:pPr>
        <w:spacing w:after="0" w:line="240" w:lineRule="auto"/>
      </w:pPr>
      <w:r>
        <w:separator/>
      </w:r>
    </w:p>
  </w:endnote>
  <w:endnote w:type="continuationSeparator" w:id="0">
    <w:p w14:paraId="29029343" w14:textId="77777777" w:rsidR="00CB5AA1" w:rsidRDefault="00CB5A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75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5AB38" w14:textId="77777777" w:rsidR="00CB5AA1" w:rsidRDefault="00CB5AA1" w:rsidP="00315CA6">
      <w:pPr>
        <w:spacing w:after="0" w:line="240" w:lineRule="auto"/>
      </w:pPr>
      <w:r>
        <w:separator/>
      </w:r>
    </w:p>
  </w:footnote>
  <w:footnote w:type="continuationSeparator" w:id="0">
    <w:p w14:paraId="0DD80921" w14:textId="77777777" w:rsidR="00CB5AA1" w:rsidRDefault="00CB5A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EF0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75B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ACB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5AA1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C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C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72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157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768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428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AE6751-A0D5-49DA-B742-8DC75B653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3650</Words>
  <Characters>20806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